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5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5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5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594B17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управления развитием персонала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Инновационные персонал-технологии и управление карьерой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CACF47" w:rsidR="00A77598" w:rsidRPr="007354F1" w:rsidRDefault="007354F1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94B1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4B17">
              <w:rPr>
                <w:rFonts w:ascii="Times New Roman" w:hAnsi="Times New Roman" w:cs="Times New Roman"/>
                <w:sz w:val="20"/>
                <w:szCs w:val="20"/>
              </w:rPr>
              <w:t>к.э.н, Гриднева Мария Алексеевна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17C758B" w:rsidR="004475DA" w:rsidRPr="007354F1" w:rsidRDefault="007354F1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5AA8B1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6F059E5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525F2C0E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6B68573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12D1D50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1166D81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623CBE79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575202DA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59336E2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F131CC0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54953795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D07F168" w:rsidR="00D75436" w:rsidRDefault="00916F8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26628427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4EB8AA9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5D2970A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1373EFF6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50928C60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2EEA109" w:rsidR="00D75436" w:rsidRDefault="00916F8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594B17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594B1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компетенций в области формирования и реализации политики обучения и развития персонала организации, а также оценки эффективности системы обучения и развития персонала и её вклада в достижение целей организации.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594B17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управления развитием персонала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0"/>
        <w:gridCol w:w="1890"/>
        <w:gridCol w:w="5500"/>
      </w:tblGrid>
      <w:tr w:rsidR="00751095" w:rsidRPr="00594B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94B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94B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94B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4B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94B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94B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94B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594B17">
              <w:rPr>
                <w:rFonts w:ascii="Times New Roman" w:hAnsi="Times New Roman" w:cs="Times New Roman"/>
              </w:rPr>
              <w:t>ых</w:t>
            </w:r>
            <w:proofErr w:type="spellEnd"/>
            <w:r w:rsidRPr="00594B17">
              <w:rPr>
                <w:rFonts w:ascii="Times New Roman" w:hAnsi="Times New Roman" w:cs="Times New Roman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594B17">
              <w:rPr>
                <w:rFonts w:ascii="Times New Roman" w:hAnsi="Times New Roman" w:cs="Times New Roman"/>
                <w:lang w:bidi="ru-RU"/>
              </w:rPr>
              <w:t>ых</w:t>
            </w:r>
            <w:proofErr w:type="spellEnd"/>
            <w:r w:rsidRPr="00594B17">
              <w:rPr>
                <w:rFonts w:ascii="Times New Roman" w:hAnsi="Times New Roman" w:cs="Times New Roman"/>
                <w:lang w:bidi="ru-RU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4B17">
              <w:rPr>
                <w:rFonts w:ascii="Times New Roman" w:hAnsi="Times New Roman" w:cs="Times New Roman"/>
              </w:rPr>
              <w:t>основы организационно-управленческой деятельности в сфере оперативного и стратегического управления персоналом организации любой организационно-правовой формы и в любых видах экономической деятельности.</w:t>
            </w:r>
            <w:r w:rsidRPr="00594B1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321E27A0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4B17">
              <w:rPr>
                <w:rFonts w:ascii="Times New Roman" w:hAnsi="Times New Roman" w:cs="Times New Roman"/>
              </w:rPr>
              <w:t>разрабатывать политику привлечения и развития персонала в соответствии со стратегическими планами организации.</w:t>
            </w:r>
          </w:p>
          <w:p w14:paraId="253C4FDD" w14:textId="49E305B5" w:rsidR="00751095" w:rsidRPr="00594B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4B17">
              <w:rPr>
                <w:rFonts w:ascii="Times New Roman" w:hAnsi="Times New Roman" w:cs="Times New Roman"/>
              </w:rPr>
              <w:t>разрабатывать политику привлечения и развития персонала в соответствии со стратегическими планами организации.</w:t>
            </w:r>
          </w:p>
        </w:tc>
      </w:tr>
      <w:tr w:rsidR="00751095" w:rsidRPr="00594B17" w14:paraId="2F428DE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D9C520" w14:textId="77777777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ПК-1 - Способен к организационно-управленческой деятельности в сфере оперативного и стратегического управления персоналом организаций любой организационно-правовой формы и в любых видах экономической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6C2C1F" w14:textId="77777777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ПК-1.2 - Применяет современные технологии привлечения и развития персонала в соответствии со стратегическими планами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E596C0" w14:textId="77777777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4B17">
              <w:rPr>
                <w:rFonts w:ascii="Times New Roman" w:hAnsi="Times New Roman" w:cs="Times New Roman"/>
              </w:rPr>
              <w:t>основы коммуникаций в сфере академического и профессионального взаимодействия.</w:t>
            </w:r>
            <w:r w:rsidRPr="00594B17">
              <w:rPr>
                <w:rFonts w:ascii="Times New Roman" w:hAnsi="Times New Roman" w:cs="Times New Roman"/>
              </w:rPr>
              <w:t xml:space="preserve"> </w:t>
            </w:r>
          </w:p>
          <w:p w14:paraId="37D51666" w14:textId="415551F8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4B17">
              <w:rPr>
                <w:rFonts w:ascii="Times New Roman" w:hAnsi="Times New Roman" w:cs="Times New Roman"/>
              </w:rPr>
              <w:t>эффективно коммуницировать в современном академическом и профессиональном пространстве, в том числе на иностранном(</w:t>
            </w:r>
            <w:proofErr w:type="spellStart"/>
            <w:r w:rsidR="00FD518F" w:rsidRPr="00594B17">
              <w:rPr>
                <w:rFonts w:ascii="Times New Roman" w:hAnsi="Times New Roman" w:cs="Times New Roman"/>
              </w:rPr>
              <w:t>ных</w:t>
            </w:r>
            <w:proofErr w:type="spellEnd"/>
            <w:r w:rsidR="00FD518F" w:rsidRPr="00594B17">
              <w:rPr>
                <w:rFonts w:ascii="Times New Roman" w:hAnsi="Times New Roman" w:cs="Times New Roman"/>
              </w:rPr>
              <w:t>) языке(</w:t>
            </w:r>
            <w:proofErr w:type="spellStart"/>
            <w:r w:rsidR="00FD518F" w:rsidRPr="00594B17">
              <w:rPr>
                <w:rFonts w:ascii="Times New Roman" w:hAnsi="Times New Roman" w:cs="Times New Roman"/>
              </w:rPr>
              <w:t>ках</w:t>
            </w:r>
            <w:proofErr w:type="spellEnd"/>
            <w:r w:rsidR="00FD518F" w:rsidRPr="00594B17">
              <w:rPr>
                <w:rFonts w:ascii="Times New Roman" w:hAnsi="Times New Roman" w:cs="Times New Roman"/>
              </w:rPr>
              <w:t>).</w:t>
            </w:r>
          </w:p>
          <w:p w14:paraId="04C907F2" w14:textId="013660AD" w:rsidR="00751095" w:rsidRPr="00594B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4B17">
              <w:rPr>
                <w:rFonts w:ascii="Times New Roman" w:hAnsi="Times New Roman" w:cs="Times New Roman"/>
              </w:rPr>
              <w:t>навыками восприятия, анализа и критической оценки устной и письменной деловой информации на государственно</w:t>
            </w:r>
            <w:proofErr w:type="gramStart"/>
            <w:r w:rsidR="00FD518F" w:rsidRPr="00594B17">
              <w:rPr>
                <w:rFonts w:ascii="Times New Roman" w:hAnsi="Times New Roman" w:cs="Times New Roman"/>
              </w:rPr>
              <w:t>м(</w:t>
            </w:r>
            <w:proofErr w:type="spellStart"/>
            <w:proofErr w:type="gramEnd"/>
            <w:r w:rsidR="00FD518F" w:rsidRPr="00594B17">
              <w:rPr>
                <w:rFonts w:ascii="Times New Roman" w:hAnsi="Times New Roman" w:cs="Times New Roman"/>
              </w:rPr>
              <w:t>ных</w:t>
            </w:r>
            <w:proofErr w:type="spellEnd"/>
            <w:r w:rsidR="00FD518F" w:rsidRPr="00594B17">
              <w:rPr>
                <w:rFonts w:ascii="Times New Roman" w:hAnsi="Times New Roman" w:cs="Times New Roman"/>
              </w:rPr>
              <w:t>) языке(</w:t>
            </w:r>
            <w:proofErr w:type="spellStart"/>
            <w:r w:rsidR="00FD518F" w:rsidRPr="00594B17">
              <w:rPr>
                <w:rFonts w:ascii="Times New Roman" w:hAnsi="Times New Roman" w:cs="Times New Roman"/>
              </w:rPr>
              <w:t>ках</w:t>
            </w:r>
            <w:proofErr w:type="spellEnd"/>
            <w:r w:rsidR="00FD518F" w:rsidRPr="00594B17">
              <w:rPr>
                <w:rFonts w:ascii="Times New Roman" w:hAnsi="Times New Roman" w:cs="Times New Roman"/>
              </w:rPr>
              <w:t>), в том числе и с использованием информационных технологий.</w:t>
            </w:r>
          </w:p>
        </w:tc>
      </w:tr>
      <w:tr w:rsidR="00751095" w:rsidRPr="00594B17" w14:paraId="4BB29BC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4BB416" w14:textId="77777777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ПК-4 - Способен выявлять и формулировать актуальные научные проблемы управления персоналом, применять методы и инструменты проведения исследований в системе управления персоналом и проводить анализ их результатов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48748E" w14:textId="77777777" w:rsidR="00751095" w:rsidRPr="00594B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ПК-4.2 - Использует современные технологии оценки эффективности системы развития персонала и ее вклада в достижение целей организации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AC26C7" w14:textId="77777777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594B17">
              <w:rPr>
                <w:rFonts w:ascii="Times New Roman" w:hAnsi="Times New Roman" w:cs="Times New Roman"/>
              </w:rPr>
              <w:t>актуальные научные проблемы, а также методологию проведения исследований в области управления персоналом.</w:t>
            </w:r>
            <w:r w:rsidRPr="00594B17">
              <w:rPr>
                <w:rFonts w:ascii="Times New Roman" w:hAnsi="Times New Roman" w:cs="Times New Roman"/>
              </w:rPr>
              <w:t xml:space="preserve"> </w:t>
            </w:r>
          </w:p>
          <w:p w14:paraId="53588D2A" w14:textId="6E94E940" w:rsidR="00751095" w:rsidRPr="00594B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594B17">
              <w:rPr>
                <w:rFonts w:ascii="Times New Roman" w:hAnsi="Times New Roman" w:cs="Times New Roman"/>
              </w:rPr>
              <w:t>выявлять и формулировать актуальные проблемы управления персоналом, а также проводить исследования и анализировать их результаты.</w:t>
            </w:r>
          </w:p>
          <w:p w14:paraId="072C5B2E" w14:textId="61C537C4" w:rsidR="00751095" w:rsidRPr="00594B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94B17">
              <w:rPr>
                <w:rFonts w:ascii="Times New Roman" w:hAnsi="Times New Roman" w:cs="Times New Roman"/>
              </w:rPr>
              <w:t>современными технологиями оценки эффективности системы развития персонала.</w:t>
            </w:r>
          </w:p>
        </w:tc>
      </w:tr>
    </w:tbl>
    <w:p w14:paraId="010B1EC2" w14:textId="77777777" w:rsidR="00E1429F" w:rsidRPr="00594B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94B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94B1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94B1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94B1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(ак</w:t>
            </w:r>
            <w:r w:rsidR="00AE2B1A" w:rsidRPr="00594B17">
              <w:rPr>
                <w:rFonts w:ascii="Times New Roman" w:hAnsi="Times New Roman" w:cs="Times New Roman"/>
                <w:b/>
              </w:rPr>
              <w:t>адемические</w:t>
            </w:r>
            <w:r w:rsidRPr="00594B1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94B1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94B1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94B1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1. Трудовой потенциал работника как элемент кадрового потенциала организации: технологии и методы его развития.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Трудовой потенциал работника как элемент кадрового потенциала организации. Проблема измерения и развития трудового потенциала. Эффективность на каждом рабочем месте. Концепция развивающего управления персоналом. Управление временем и стрессом. Понятие профессионально-квалификационного потенциала.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62772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0FC1C5" w14:textId="77777777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2. Модель компетенций как инструмент развития персонала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89622E" w14:textId="77777777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Понятие компетенции. Предпосылки создания модели компетенций в управлении персоналом. Связь модели компетенций со стратегией организации. Принципы и виды оценки профессиональных компетенций персонала.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A8860B7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33CCC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7042BC" w14:textId="77777777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BD2454" w14:textId="77777777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52954CA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500849" w14:textId="77777777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3. Управление трудовой адаптацией персонала посредством адаптационного обучения.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5ABA01" w14:textId="77777777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Управление трудовой адаптацией как технология развития персонала организации. Общее представление о трудовой адаптации. Мероприятия, инструментарий и программа адаптации персонала. Организационные решения проблемы структурного обеспечения процесса управления адаптацией. Адаптационное обучение как технология управления адаптацией. Современные образовательные технологии в адаптационном обучении.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9E77E8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AB3F5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4868C15" w14:textId="77777777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B8BF72" w14:textId="77777777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07A528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A9C2FC" w14:textId="77777777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4. Управление талантами: планирование карьеры и формирование кадрового резерва.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A191C" w14:textId="77777777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Основные тренды в управлении талантами. Эксклюзивный и инклюзивный подходы. Уровни зрелости системы управления талантами в организации. Роль службы управления персоналом в процессе управления талантами. Планирование и управление карьерой. Виды карьеры и карьерные мотиваторы. «Якоря карьеры» Э. Шейна. Формирование кадрового резерва и технологии управления кадровым резервом. Обучение и развитие сотрудников, находящихся в кадровом резерве.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B921FA9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D58417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393D33" w14:textId="77777777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ED9503" w14:textId="77777777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307E6A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BC0478" w14:textId="77777777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5. Современные технологии развития персонала и управление знаниями в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042EC2" w14:textId="77777777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Программы обучения в организации: содержание, структура, управление знаниями, самообучение. Изменение роли менеджера по обучению и развитию персонала, новые требования к профессии L&amp;D, знания и навыки необходимые для лучшей адаптации к новым вызовам внешней и внутренней среды организации. Корпоративные университеты завтрашнего дня. Самообучающиеся организации. Диджитализация обучения: вопросы адаптации. Big data и искусственный интеллект в обучении персонала. Коучинг как инструмент развития потенциала сотрудников. Система работы с внутренними тренерами, развитие форматов социального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82A709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4EE6F4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AFEDA96" w14:textId="77777777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46BF5" w14:textId="77777777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491BF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B82D18" w14:textId="77777777" w:rsidR="004475DA" w:rsidRPr="00594B17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Тема 6. Оценка эффективности системы обучения и развития персонала.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A6FBE3" w14:textId="77777777" w:rsidR="004475DA" w:rsidRPr="00594B17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594B17">
              <w:rPr>
                <w:sz w:val="22"/>
                <w:szCs w:val="22"/>
                <w:lang w:bidi="ru-RU"/>
              </w:rPr>
              <w:t>Инвестиции в обучение персонала. Измерение эффективности обучения, ROI. Исследования CIPD. Метрики измерения успеха. Анализ потребностей в обучении различных целевых аудиторий. Комплексная оценка эффективности обучения.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1A0B34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CBEA1" w14:textId="77777777" w:rsidR="004475DA" w:rsidRPr="00594B17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29A002E" w14:textId="77777777" w:rsidR="004475DA" w:rsidRPr="00594B17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05A872" w14:textId="77777777" w:rsidR="004475DA" w:rsidRPr="00594B17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bidi="ru-RU"/>
              </w:rPr>
              <w:t>19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594B17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4B17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594B17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4B17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594B17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594B17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594B17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5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4B17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5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594B17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5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594B17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594B17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8"/>
        <w:gridCol w:w="2406"/>
      </w:tblGrid>
      <w:tr w:rsidR="00262CF0" w:rsidRPr="00594B17" w14:paraId="5F00FF08" w14:textId="77777777" w:rsidTr="00594B17">
        <w:trPr>
          <w:trHeight w:val="641"/>
        </w:trPr>
        <w:tc>
          <w:tcPr>
            <w:tcW w:w="3790" w:type="pct"/>
            <w:shd w:val="clear" w:color="auto" w:fill="auto"/>
            <w:vAlign w:val="center"/>
            <w:hideMark/>
          </w:tcPr>
          <w:p w14:paraId="32DEE01C" w14:textId="6DE4B03A" w:rsidR="00262CF0" w:rsidRPr="00594B17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4B17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1C1EA733" w14:textId="77777777" w:rsidR="00262CF0" w:rsidRPr="00594B17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94B17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94B17" w14:paraId="1433EE91" w14:textId="77777777" w:rsidTr="00594B17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31B092F5" w14:textId="4DED7782" w:rsidR="00262CF0" w:rsidRPr="00594B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594B17">
              <w:rPr>
                <w:rFonts w:ascii="Times New Roman" w:hAnsi="Times New Roman" w:cs="Times New Roman"/>
              </w:rPr>
              <w:t>Гильдингерш</w:t>
            </w:r>
            <w:proofErr w:type="spellEnd"/>
            <w:r w:rsidRPr="00594B17">
              <w:rPr>
                <w:rFonts w:ascii="Times New Roman" w:hAnsi="Times New Roman" w:cs="Times New Roman"/>
              </w:rPr>
              <w:t xml:space="preserve"> М.Г. Управление карьерой и развитие персонала: учебное пособие / </w:t>
            </w:r>
            <w:proofErr w:type="spellStart"/>
            <w:r w:rsidRPr="00594B17">
              <w:rPr>
                <w:rFonts w:ascii="Times New Roman" w:hAnsi="Times New Roman" w:cs="Times New Roman"/>
              </w:rPr>
              <w:t>М.Г.Гильдингерш</w:t>
            </w:r>
            <w:proofErr w:type="spellEnd"/>
            <w:r w:rsidRPr="00594B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94B17">
              <w:rPr>
                <w:rFonts w:ascii="Times New Roman" w:hAnsi="Times New Roman" w:cs="Times New Roman"/>
              </w:rPr>
              <w:t>Э.Б.Молодькова</w:t>
            </w:r>
            <w:proofErr w:type="spellEnd"/>
            <w:r w:rsidRPr="00594B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594B17">
              <w:rPr>
                <w:rFonts w:ascii="Times New Roman" w:hAnsi="Times New Roman" w:cs="Times New Roman"/>
              </w:rPr>
              <w:t>В.С.Тестова</w:t>
            </w:r>
            <w:proofErr w:type="spellEnd"/>
            <w:r w:rsidRPr="00594B17">
              <w:rPr>
                <w:rFonts w:ascii="Times New Roman" w:hAnsi="Times New Roman" w:cs="Times New Roman"/>
              </w:rPr>
              <w:t>; М-во науки и высш. образования Рос. Федерации, Санкт-Петербургский гос. экономический ун-т, Кафедра упр. персоналом. — Санкт-Петербург: Изд-во СПбГЭУ, 2018. — 138 с.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25965B29" w14:textId="0CF2FFC1" w:rsidR="00262CF0" w:rsidRPr="00594B17" w:rsidRDefault="00916F84" w:rsidP="00594B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594B17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B2%D0%B8%D1%82%D0%B8%D0%B5.pdf</w:t>
              </w:r>
            </w:hyperlink>
          </w:p>
        </w:tc>
      </w:tr>
      <w:tr w:rsidR="00262CF0" w:rsidRPr="00594B17" w14:paraId="4A776CF5" w14:textId="77777777" w:rsidTr="00594B17">
        <w:trPr>
          <w:trHeight w:val="354"/>
        </w:trPr>
        <w:tc>
          <w:tcPr>
            <w:tcW w:w="3790" w:type="pct"/>
            <w:shd w:val="clear" w:color="auto" w:fill="auto"/>
            <w:vAlign w:val="center"/>
          </w:tcPr>
          <w:p w14:paraId="52143CD6" w14:textId="77777777" w:rsidR="00262CF0" w:rsidRPr="00594B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94B17">
              <w:rPr>
                <w:rFonts w:ascii="Times New Roman" w:hAnsi="Times New Roman" w:cs="Times New Roman"/>
              </w:rPr>
              <w:t>Управление персоналом организации: технологии управления развитием персонала</w:t>
            </w:r>
            <w:proofErr w:type="gramStart"/>
            <w:r w:rsidRPr="00594B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4B17">
              <w:rPr>
                <w:rFonts w:ascii="Times New Roman" w:hAnsi="Times New Roman" w:cs="Times New Roman"/>
              </w:rPr>
              <w:t xml:space="preserve"> учебник / О.К. </w:t>
            </w:r>
            <w:proofErr w:type="spellStart"/>
            <w:r w:rsidRPr="00594B17">
              <w:rPr>
                <w:rFonts w:ascii="Times New Roman" w:hAnsi="Times New Roman" w:cs="Times New Roman"/>
              </w:rPr>
              <w:t>Минева</w:t>
            </w:r>
            <w:proofErr w:type="spellEnd"/>
            <w:r w:rsidRPr="00594B17">
              <w:rPr>
                <w:rFonts w:ascii="Times New Roman" w:hAnsi="Times New Roman" w:cs="Times New Roman"/>
              </w:rPr>
              <w:t xml:space="preserve">, И.Н. </w:t>
            </w:r>
            <w:proofErr w:type="spellStart"/>
            <w:r w:rsidRPr="00594B17">
              <w:rPr>
                <w:rFonts w:ascii="Times New Roman" w:hAnsi="Times New Roman" w:cs="Times New Roman"/>
              </w:rPr>
              <w:t>Ахунжанова</w:t>
            </w:r>
            <w:proofErr w:type="spellEnd"/>
            <w:r w:rsidRPr="00594B17">
              <w:rPr>
                <w:rFonts w:ascii="Times New Roman" w:hAnsi="Times New Roman" w:cs="Times New Roman"/>
              </w:rPr>
              <w:t xml:space="preserve">, Т.А. Мордасова [и др.] ; под ред. О.К. </w:t>
            </w:r>
            <w:proofErr w:type="spellStart"/>
            <w:r w:rsidRPr="00594B17">
              <w:rPr>
                <w:rFonts w:ascii="Times New Roman" w:hAnsi="Times New Roman" w:cs="Times New Roman"/>
              </w:rPr>
              <w:t>Миневой</w:t>
            </w:r>
            <w:proofErr w:type="spellEnd"/>
            <w:r w:rsidRPr="00594B17">
              <w:rPr>
                <w:rFonts w:ascii="Times New Roman" w:hAnsi="Times New Roman" w:cs="Times New Roman"/>
              </w:rPr>
              <w:t>. — Москва</w:t>
            </w:r>
            <w:proofErr w:type="gramStart"/>
            <w:r w:rsidRPr="00594B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4B17">
              <w:rPr>
                <w:rFonts w:ascii="Times New Roman" w:hAnsi="Times New Roman" w:cs="Times New Roman"/>
              </w:rPr>
              <w:t xml:space="preserve"> ИНФРА-М, 2025. — 160 с. — (Высшее образование). — </w:t>
            </w:r>
            <w:r w:rsidRPr="00594B17">
              <w:rPr>
                <w:rFonts w:ascii="Times New Roman" w:hAnsi="Times New Roman" w:cs="Times New Roman"/>
                <w:lang w:val="en-US"/>
              </w:rPr>
              <w:t>DOI</w:t>
            </w:r>
            <w:r w:rsidRPr="00594B17">
              <w:rPr>
                <w:rFonts w:ascii="Times New Roman" w:hAnsi="Times New Roman" w:cs="Times New Roman"/>
              </w:rPr>
              <w:t xml:space="preserve"> 10.12737/18830. - </w:t>
            </w:r>
            <w:r w:rsidRPr="00594B17">
              <w:rPr>
                <w:rFonts w:ascii="Times New Roman" w:hAnsi="Times New Roman" w:cs="Times New Roman"/>
                <w:lang w:val="en-US"/>
              </w:rPr>
              <w:t>ISBN</w:t>
            </w:r>
            <w:r w:rsidRPr="00594B17">
              <w:rPr>
                <w:rFonts w:ascii="Times New Roman" w:hAnsi="Times New Roman" w:cs="Times New Roman"/>
              </w:rPr>
              <w:t xml:space="preserve"> 978-5-16-020657-8. - Текст</w:t>
            </w:r>
            <w:proofErr w:type="gramStart"/>
            <w:r w:rsidRPr="00594B17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4B17">
              <w:rPr>
                <w:rFonts w:ascii="Times New Roman" w:hAnsi="Times New Roman" w:cs="Times New Roman"/>
              </w:rPr>
              <w:t xml:space="preserve"> электронный.</w:t>
            </w:r>
          </w:p>
        </w:tc>
        <w:tc>
          <w:tcPr>
            <w:tcW w:w="1210" w:type="pct"/>
            <w:shd w:val="clear" w:color="auto" w:fill="auto"/>
            <w:vAlign w:val="center"/>
            <w:hideMark/>
          </w:tcPr>
          <w:p w14:paraId="6D6EB089" w14:textId="77777777" w:rsidR="00262CF0" w:rsidRPr="00594B17" w:rsidRDefault="00916F84" w:rsidP="00594B17">
            <w:pPr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Times New Roman" w:hAnsi="Times New Roman" w:cs="Times New Roman"/>
                <w:color w:val="0000FF"/>
              </w:rPr>
            </w:pPr>
            <w:hyperlink r:id="rId13" w:history="1">
              <w:r w:rsidR="00984247" w:rsidRPr="00594B17">
                <w:rPr>
                  <w:rFonts w:ascii="Times New Roman" w:hAnsi="Times New Roman" w:cs="Times New Roman"/>
                  <w:color w:val="00008B"/>
                  <w:u w:val="single"/>
                </w:rPr>
                <w:t>https://znanium.ru/catalog/product/2187021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0E8CC674" w14:textId="77777777" w:rsidTr="007B550D">
        <w:tc>
          <w:tcPr>
            <w:tcW w:w="9345" w:type="dxa"/>
          </w:tcPr>
          <w:p w14:paraId="629BD02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266C4BF" w14:textId="77777777" w:rsidTr="007B550D">
        <w:tc>
          <w:tcPr>
            <w:tcW w:w="9345" w:type="dxa"/>
          </w:tcPr>
          <w:p w14:paraId="49A60DA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66AB8DD" w14:textId="77777777" w:rsidTr="007B550D">
        <w:tc>
          <w:tcPr>
            <w:tcW w:w="9345" w:type="dxa"/>
          </w:tcPr>
          <w:p w14:paraId="3B96774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312D409" w14:textId="77777777" w:rsidTr="007B550D">
        <w:tc>
          <w:tcPr>
            <w:tcW w:w="9345" w:type="dxa"/>
          </w:tcPr>
          <w:p w14:paraId="1742A72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916F8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7088"/>
        <w:gridCol w:w="2262"/>
      </w:tblGrid>
      <w:tr w:rsidR="002C735C" w:rsidRPr="00594B17" w14:paraId="53424330" w14:textId="77777777" w:rsidTr="00594B17">
        <w:tc>
          <w:tcPr>
            <w:tcW w:w="7088" w:type="dxa"/>
            <w:shd w:val="clear" w:color="auto" w:fill="auto"/>
          </w:tcPr>
          <w:p w14:paraId="2986F8BC" w14:textId="77777777" w:rsidR="002C735C" w:rsidRPr="00594B17" w:rsidRDefault="002C735C" w:rsidP="00594B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94B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94B17" w:rsidRDefault="002C735C" w:rsidP="00594B17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594B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94B17" w14:paraId="3B643305" w14:textId="77777777" w:rsidTr="00594B17">
        <w:tc>
          <w:tcPr>
            <w:tcW w:w="7088" w:type="dxa"/>
            <w:shd w:val="clear" w:color="auto" w:fill="auto"/>
          </w:tcPr>
          <w:p w14:paraId="30187323" w14:textId="30C31B26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594B17">
              <w:rPr>
                <w:sz w:val="22"/>
                <w:szCs w:val="22"/>
              </w:rPr>
              <w:t>мКомпьютер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I</w:t>
            </w:r>
            <w:r w:rsidRPr="00594B17">
              <w:rPr>
                <w:sz w:val="22"/>
                <w:szCs w:val="22"/>
              </w:rPr>
              <w:t xml:space="preserve">3-8100/ 8Гб/500Гб/ </w:t>
            </w:r>
            <w:r w:rsidRPr="00594B17">
              <w:rPr>
                <w:sz w:val="22"/>
                <w:szCs w:val="22"/>
                <w:lang w:val="en-US"/>
              </w:rPr>
              <w:t>Philips</w:t>
            </w:r>
            <w:r w:rsidRPr="00594B17">
              <w:rPr>
                <w:sz w:val="22"/>
                <w:szCs w:val="22"/>
              </w:rPr>
              <w:t>224</w:t>
            </w:r>
            <w:r w:rsidRPr="00594B17">
              <w:rPr>
                <w:sz w:val="22"/>
                <w:szCs w:val="22"/>
                <w:lang w:val="en-US"/>
              </w:rPr>
              <w:t>E</w:t>
            </w:r>
            <w:r w:rsidRPr="00594B17">
              <w:rPr>
                <w:sz w:val="22"/>
                <w:szCs w:val="22"/>
              </w:rPr>
              <w:t>5</w:t>
            </w:r>
            <w:r w:rsidRPr="00594B17">
              <w:rPr>
                <w:sz w:val="22"/>
                <w:szCs w:val="22"/>
                <w:lang w:val="en-US"/>
              </w:rPr>
              <w:t>QSB</w:t>
            </w:r>
            <w:r w:rsidRPr="00594B17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4B17">
              <w:rPr>
                <w:sz w:val="22"/>
                <w:szCs w:val="22"/>
              </w:rPr>
              <w:t xml:space="preserve">5-7400 3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594B17">
              <w:rPr>
                <w:sz w:val="22"/>
                <w:szCs w:val="22"/>
              </w:rPr>
              <w:t>/8</w:t>
            </w:r>
            <w:r w:rsidRPr="00594B17">
              <w:rPr>
                <w:sz w:val="22"/>
                <w:szCs w:val="22"/>
                <w:lang w:val="en-US"/>
              </w:rPr>
              <w:t>Gb</w:t>
            </w:r>
            <w:r w:rsidRPr="00594B17">
              <w:rPr>
                <w:sz w:val="22"/>
                <w:szCs w:val="22"/>
              </w:rPr>
              <w:t>/1</w:t>
            </w:r>
            <w:r w:rsidRPr="00594B17">
              <w:rPr>
                <w:sz w:val="22"/>
                <w:szCs w:val="22"/>
                <w:lang w:val="en-US"/>
              </w:rPr>
              <w:t>Tb</w:t>
            </w:r>
            <w:r w:rsidRPr="00594B17">
              <w:rPr>
                <w:sz w:val="22"/>
                <w:szCs w:val="22"/>
              </w:rPr>
              <w:t>/</w:t>
            </w:r>
            <w:r w:rsidRPr="00594B17">
              <w:rPr>
                <w:sz w:val="22"/>
                <w:szCs w:val="22"/>
                <w:lang w:val="en-US"/>
              </w:rPr>
              <w:t>Dell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e</w:t>
            </w:r>
            <w:r w:rsidRPr="00594B17">
              <w:rPr>
                <w:sz w:val="22"/>
                <w:szCs w:val="22"/>
              </w:rPr>
              <w:t>2318</w:t>
            </w:r>
            <w:r w:rsidRPr="00594B17">
              <w:rPr>
                <w:sz w:val="22"/>
                <w:szCs w:val="22"/>
                <w:lang w:val="en-US"/>
              </w:rPr>
              <w:t>h</w:t>
            </w:r>
            <w:r w:rsidRPr="00594B17">
              <w:rPr>
                <w:sz w:val="22"/>
                <w:szCs w:val="22"/>
              </w:rPr>
              <w:t xml:space="preserve"> - 1 шт., Мультимедийный проектор 1 </w:t>
            </w:r>
            <w:r w:rsidRPr="00594B17">
              <w:rPr>
                <w:sz w:val="22"/>
                <w:szCs w:val="22"/>
                <w:lang w:val="en-US"/>
              </w:rPr>
              <w:t>NEC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ME</w:t>
            </w:r>
            <w:r w:rsidRPr="00594B17">
              <w:rPr>
                <w:sz w:val="22"/>
                <w:szCs w:val="22"/>
              </w:rPr>
              <w:t>401</w:t>
            </w:r>
            <w:r w:rsidRPr="00594B17">
              <w:rPr>
                <w:sz w:val="22"/>
                <w:szCs w:val="22"/>
                <w:lang w:val="en-US"/>
              </w:rPr>
              <w:t>X</w:t>
            </w:r>
            <w:r w:rsidRPr="00594B17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594B17">
              <w:rPr>
                <w:sz w:val="22"/>
                <w:szCs w:val="22"/>
                <w:lang w:val="en-US"/>
              </w:rPr>
              <w:t>Matte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White</w:t>
            </w:r>
            <w:r w:rsidRPr="00594B17">
              <w:rPr>
                <w:sz w:val="22"/>
                <w:szCs w:val="22"/>
              </w:rPr>
              <w:t xml:space="preserve"> - 1 шт., Коммутатор </w:t>
            </w:r>
            <w:r w:rsidRPr="00594B17">
              <w:rPr>
                <w:sz w:val="22"/>
                <w:szCs w:val="22"/>
                <w:lang w:val="en-US"/>
              </w:rPr>
              <w:t>HP</w:t>
            </w:r>
            <w:r w:rsidRPr="00594B17">
              <w:rPr>
                <w:sz w:val="22"/>
                <w:szCs w:val="22"/>
              </w:rPr>
              <w:t xml:space="preserve">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Switch</w:t>
            </w:r>
            <w:r w:rsidRPr="00594B17">
              <w:rPr>
                <w:sz w:val="22"/>
                <w:szCs w:val="22"/>
              </w:rPr>
              <w:t xml:space="preserve"> 2610-24 (24 </w:t>
            </w:r>
            <w:r w:rsidRPr="00594B17">
              <w:rPr>
                <w:sz w:val="22"/>
                <w:szCs w:val="22"/>
                <w:lang w:val="en-US"/>
              </w:rPr>
              <w:t>ports</w:t>
            </w:r>
            <w:r w:rsidRPr="00594B17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B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4B17" w14:paraId="69F6A9B9" w14:textId="77777777" w:rsidTr="00594B17">
        <w:tc>
          <w:tcPr>
            <w:tcW w:w="7088" w:type="dxa"/>
            <w:shd w:val="clear" w:color="auto" w:fill="auto"/>
          </w:tcPr>
          <w:p w14:paraId="345D53CF" w14:textId="47F55DDE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мебель и оборудование: Моноблок </w:t>
            </w:r>
            <w:r w:rsidRPr="00594B17">
              <w:rPr>
                <w:sz w:val="22"/>
                <w:szCs w:val="22"/>
                <w:lang w:val="en-US"/>
              </w:rPr>
              <w:t>LENOVO</w:t>
            </w:r>
            <w:r w:rsidRPr="00594B17">
              <w:rPr>
                <w:sz w:val="22"/>
                <w:szCs w:val="22"/>
              </w:rPr>
              <w:t xml:space="preserve">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ideaCentre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A</w:t>
            </w:r>
            <w:r w:rsidRPr="00594B17">
              <w:rPr>
                <w:sz w:val="22"/>
                <w:szCs w:val="22"/>
              </w:rPr>
              <w:t>310 (</w:t>
            </w:r>
            <w:r w:rsidRPr="00594B17">
              <w:rPr>
                <w:sz w:val="22"/>
                <w:szCs w:val="22"/>
                <w:lang w:val="en-US"/>
              </w:rPr>
              <w:t>Intel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Pentium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CPU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P</w:t>
            </w:r>
            <w:r w:rsidRPr="00594B17">
              <w:rPr>
                <w:sz w:val="22"/>
                <w:szCs w:val="22"/>
              </w:rPr>
              <w:t>6100 @ 2.00</w:t>
            </w:r>
            <w:r w:rsidRPr="00594B17">
              <w:rPr>
                <w:sz w:val="22"/>
                <w:szCs w:val="22"/>
                <w:lang w:val="en-US"/>
              </w:rPr>
              <w:t>GHz</w:t>
            </w:r>
            <w:r w:rsidRPr="00594B17">
              <w:rPr>
                <w:sz w:val="22"/>
                <w:szCs w:val="22"/>
              </w:rPr>
              <w:t>/2</w:t>
            </w:r>
            <w:r w:rsidRPr="00594B17">
              <w:rPr>
                <w:sz w:val="22"/>
                <w:szCs w:val="22"/>
                <w:lang w:val="en-US"/>
              </w:rPr>
              <w:t>Gb</w:t>
            </w:r>
            <w:r w:rsidRPr="00594B17">
              <w:rPr>
                <w:sz w:val="22"/>
                <w:szCs w:val="22"/>
              </w:rPr>
              <w:t>/250</w:t>
            </w:r>
            <w:r w:rsidRPr="00594B17">
              <w:rPr>
                <w:sz w:val="22"/>
                <w:szCs w:val="22"/>
                <w:lang w:val="en-US"/>
              </w:rPr>
              <w:t>Gb</w:t>
            </w:r>
            <w:r w:rsidRPr="00594B17">
              <w:rPr>
                <w:sz w:val="22"/>
                <w:szCs w:val="22"/>
              </w:rPr>
              <w:t xml:space="preserve">)- 15 шт., Мультимедийный проектор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x</w:t>
            </w:r>
            <w:r w:rsidRPr="00594B17">
              <w:rPr>
                <w:sz w:val="22"/>
                <w:szCs w:val="22"/>
              </w:rPr>
              <w:t xml:space="preserve"> 400 - 1 шт.,  Экран с электроприводом </w:t>
            </w:r>
            <w:r w:rsidRPr="00594B17">
              <w:rPr>
                <w:sz w:val="22"/>
                <w:szCs w:val="22"/>
                <w:lang w:val="en-US"/>
              </w:rPr>
              <w:t>Draper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Baronet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NTSC</w:t>
            </w:r>
            <w:r w:rsidRPr="00594B17">
              <w:rPr>
                <w:sz w:val="22"/>
                <w:szCs w:val="22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B64ED75" w14:textId="77777777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B17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94B17" w14:paraId="17F5259E" w14:textId="77777777" w:rsidTr="00594B17">
        <w:tc>
          <w:tcPr>
            <w:tcW w:w="7088" w:type="dxa"/>
            <w:shd w:val="clear" w:color="auto" w:fill="auto"/>
          </w:tcPr>
          <w:p w14:paraId="36DA00BD" w14:textId="2B1EEF0F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</w:t>
            </w:r>
            <w:proofErr w:type="spellStart"/>
            <w:r w:rsidRPr="00594B17">
              <w:rPr>
                <w:sz w:val="22"/>
                <w:szCs w:val="22"/>
              </w:rPr>
              <w:t>преподавателя,трибуна</w:t>
            </w:r>
            <w:proofErr w:type="spellEnd"/>
            <w:r w:rsidRPr="00594B17">
              <w:rPr>
                <w:sz w:val="22"/>
                <w:szCs w:val="22"/>
              </w:rPr>
              <w:t xml:space="preserve"> 1 шт., доска меловая 1 шт., шкаф </w:t>
            </w:r>
            <w:proofErr w:type="spellStart"/>
            <w:r w:rsidRPr="00594B17">
              <w:rPr>
                <w:sz w:val="22"/>
                <w:szCs w:val="22"/>
              </w:rPr>
              <w:t>метеллический</w:t>
            </w:r>
            <w:proofErr w:type="spellEnd"/>
            <w:r w:rsidRPr="00594B17">
              <w:rPr>
                <w:sz w:val="22"/>
                <w:szCs w:val="22"/>
              </w:rPr>
              <w:t>, тумба м/</w:t>
            </w:r>
            <w:proofErr w:type="spellStart"/>
            <w:r w:rsidRPr="00594B17">
              <w:rPr>
                <w:sz w:val="22"/>
                <w:szCs w:val="22"/>
              </w:rPr>
              <w:t>мМоноблок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Acer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Aspire</w:t>
            </w:r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Z</w:t>
            </w:r>
            <w:r w:rsidRPr="00594B17">
              <w:rPr>
                <w:sz w:val="22"/>
                <w:szCs w:val="22"/>
              </w:rPr>
              <w:t xml:space="preserve">1811 в </w:t>
            </w:r>
            <w:proofErr w:type="spellStart"/>
            <w:r w:rsidRPr="00594B17">
              <w:rPr>
                <w:sz w:val="22"/>
                <w:szCs w:val="22"/>
              </w:rPr>
              <w:t>компл</w:t>
            </w:r>
            <w:proofErr w:type="spellEnd"/>
            <w:r w:rsidRPr="00594B17">
              <w:rPr>
                <w:sz w:val="22"/>
                <w:szCs w:val="22"/>
              </w:rPr>
              <w:t xml:space="preserve">.: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94B17">
              <w:rPr>
                <w:sz w:val="22"/>
                <w:szCs w:val="22"/>
              </w:rPr>
              <w:t>5 2400</w:t>
            </w:r>
            <w:r w:rsidRPr="00594B17">
              <w:rPr>
                <w:sz w:val="22"/>
                <w:szCs w:val="22"/>
                <w:lang w:val="en-US"/>
              </w:rPr>
              <w:t>s</w:t>
            </w:r>
            <w:r w:rsidRPr="00594B17">
              <w:rPr>
                <w:sz w:val="22"/>
                <w:szCs w:val="22"/>
              </w:rPr>
              <w:t>/4</w:t>
            </w:r>
            <w:r w:rsidRPr="00594B17">
              <w:rPr>
                <w:sz w:val="22"/>
                <w:szCs w:val="22"/>
                <w:lang w:val="en-US"/>
              </w:rPr>
              <w:t>Gb</w:t>
            </w:r>
            <w:r w:rsidRPr="00594B17">
              <w:rPr>
                <w:sz w:val="22"/>
                <w:szCs w:val="22"/>
              </w:rPr>
              <w:t>/1</w:t>
            </w:r>
            <w:r w:rsidRPr="00594B17">
              <w:rPr>
                <w:sz w:val="22"/>
                <w:szCs w:val="22"/>
                <w:lang w:val="en-US"/>
              </w:rPr>
              <w:t>T</w:t>
            </w:r>
            <w:r w:rsidRPr="00594B17">
              <w:rPr>
                <w:sz w:val="22"/>
                <w:szCs w:val="22"/>
              </w:rPr>
              <w:t xml:space="preserve">б - 1шт., Мультимедийный проектор  </w:t>
            </w:r>
            <w:proofErr w:type="spellStart"/>
            <w:r w:rsidRPr="00594B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594B17">
              <w:rPr>
                <w:sz w:val="22"/>
                <w:szCs w:val="22"/>
              </w:rPr>
              <w:t xml:space="preserve"> </w:t>
            </w:r>
            <w:r w:rsidRPr="00594B17">
              <w:rPr>
                <w:sz w:val="22"/>
                <w:szCs w:val="22"/>
                <w:lang w:val="en-US"/>
              </w:rPr>
              <w:t>x</w:t>
            </w:r>
            <w:r w:rsidRPr="00594B17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5B2707" w14:textId="77777777" w:rsidR="002C735C" w:rsidRPr="00594B17" w:rsidRDefault="00B43524" w:rsidP="00594B17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594B17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594B17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Понятие трудового потенциала работника. Элементы трудового потенциала.</w:t>
            </w:r>
          </w:p>
        </w:tc>
      </w:tr>
      <w:tr w:rsidR="009E6058" w14:paraId="29CDB943" w14:textId="77777777" w:rsidTr="00F00293">
        <w:tc>
          <w:tcPr>
            <w:tcW w:w="562" w:type="dxa"/>
          </w:tcPr>
          <w:p w14:paraId="32B0CB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3763B4C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Потенциал работоспособности и стрессоустойчивости и направления его развития.</w:t>
            </w:r>
          </w:p>
        </w:tc>
      </w:tr>
      <w:tr w:rsidR="009E6058" w14:paraId="10AE0486" w14:textId="77777777" w:rsidTr="00F00293">
        <w:tc>
          <w:tcPr>
            <w:tcW w:w="562" w:type="dxa"/>
          </w:tcPr>
          <w:p w14:paraId="5449135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2779579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Профессионально-квалификационный потенциал и направления его развития.</w:t>
            </w:r>
          </w:p>
        </w:tc>
      </w:tr>
      <w:tr w:rsidR="009E6058" w14:paraId="4FA1A9F6" w14:textId="77777777" w:rsidTr="00F00293">
        <w:tc>
          <w:tcPr>
            <w:tcW w:w="562" w:type="dxa"/>
          </w:tcPr>
          <w:p w14:paraId="7EF039A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0E1C078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Нравственно-мотивационный потенциал и направления его развития.</w:t>
            </w:r>
          </w:p>
        </w:tc>
      </w:tr>
      <w:tr w:rsidR="009E6058" w14:paraId="073EB654" w14:textId="77777777" w:rsidTr="00F00293">
        <w:tc>
          <w:tcPr>
            <w:tcW w:w="562" w:type="dxa"/>
          </w:tcPr>
          <w:p w14:paraId="0802319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57342A11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Творческий потенциал и направления его развития.</w:t>
            </w:r>
          </w:p>
        </w:tc>
      </w:tr>
      <w:tr w:rsidR="009E6058" w14:paraId="0EE57A69" w14:textId="77777777" w:rsidTr="00F00293">
        <w:tc>
          <w:tcPr>
            <w:tcW w:w="562" w:type="dxa"/>
          </w:tcPr>
          <w:p w14:paraId="0BE57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966D21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Коммуникативный потенциал и направления его развития.</w:t>
            </w:r>
          </w:p>
        </w:tc>
      </w:tr>
      <w:tr w:rsidR="009E6058" w14:paraId="064A7808" w14:textId="77777777" w:rsidTr="00F00293">
        <w:tc>
          <w:tcPr>
            <w:tcW w:w="562" w:type="dxa"/>
          </w:tcPr>
          <w:p w14:paraId="1495C58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C73BB5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Лидерский потенциал и направления его развития.</w:t>
            </w:r>
          </w:p>
        </w:tc>
      </w:tr>
      <w:tr w:rsidR="009E6058" w14:paraId="1408906B" w14:textId="77777777" w:rsidTr="00F00293">
        <w:tc>
          <w:tcPr>
            <w:tcW w:w="562" w:type="dxa"/>
          </w:tcPr>
          <w:p w14:paraId="71EB86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38A19B1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 xml:space="preserve">Потенциал </w:t>
            </w:r>
            <w:proofErr w:type="spellStart"/>
            <w:r w:rsidRPr="00594B17">
              <w:rPr>
                <w:sz w:val="23"/>
                <w:szCs w:val="23"/>
              </w:rPr>
              <w:t>ассертивности</w:t>
            </w:r>
            <w:proofErr w:type="spellEnd"/>
            <w:r w:rsidRPr="00594B17">
              <w:rPr>
                <w:sz w:val="23"/>
                <w:szCs w:val="23"/>
              </w:rPr>
              <w:t xml:space="preserve"> и направления его развития.</w:t>
            </w:r>
          </w:p>
        </w:tc>
      </w:tr>
      <w:tr w:rsidR="009E6058" w14:paraId="31501901" w14:textId="77777777" w:rsidTr="00F00293">
        <w:tc>
          <w:tcPr>
            <w:tcW w:w="562" w:type="dxa"/>
          </w:tcPr>
          <w:p w14:paraId="279908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4F18A36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Административный потенциал и пути его развития.</w:t>
            </w:r>
          </w:p>
        </w:tc>
      </w:tr>
      <w:tr w:rsidR="009E6058" w14:paraId="556F33E4" w14:textId="77777777" w:rsidTr="00F00293">
        <w:tc>
          <w:tcPr>
            <w:tcW w:w="562" w:type="dxa"/>
          </w:tcPr>
          <w:p w14:paraId="68DBF7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B6D0A5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Потенциал гибкости и направления его развития.</w:t>
            </w:r>
          </w:p>
        </w:tc>
      </w:tr>
      <w:tr w:rsidR="009E6058" w14:paraId="783C8A19" w14:textId="77777777" w:rsidTr="00F00293">
        <w:tc>
          <w:tcPr>
            <w:tcW w:w="562" w:type="dxa"/>
          </w:tcPr>
          <w:p w14:paraId="262685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2EDD3B66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Понятие кадрового потенциала и факторы, его определяющие.</w:t>
            </w:r>
          </w:p>
        </w:tc>
      </w:tr>
      <w:tr w:rsidR="009E6058" w14:paraId="261B27BA" w14:textId="77777777" w:rsidTr="00F00293">
        <w:tc>
          <w:tcPr>
            <w:tcW w:w="562" w:type="dxa"/>
          </w:tcPr>
          <w:p w14:paraId="458ADD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B5926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94B17">
              <w:rPr>
                <w:sz w:val="23"/>
                <w:szCs w:val="23"/>
              </w:rPr>
              <w:t xml:space="preserve">Модель компетенций как инструмент развития персонала. </w:t>
            </w: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компетенций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51A0CA37" w14:textId="77777777" w:rsidTr="00F00293">
        <w:tc>
          <w:tcPr>
            <w:tcW w:w="562" w:type="dxa"/>
          </w:tcPr>
          <w:p w14:paraId="7ACFE33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44C63E3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Технология и преимущества адаптивного обучения.</w:t>
            </w:r>
          </w:p>
        </w:tc>
      </w:tr>
      <w:tr w:rsidR="009E6058" w14:paraId="2421F81E" w14:textId="77777777" w:rsidTr="00F00293">
        <w:tc>
          <w:tcPr>
            <w:tcW w:w="562" w:type="dxa"/>
          </w:tcPr>
          <w:p w14:paraId="207A762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513654D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Подходы к понятию «талантливые сотрудники». Основные факторы «войны за таланты».</w:t>
            </w:r>
          </w:p>
        </w:tc>
      </w:tr>
      <w:tr w:rsidR="009E6058" w14:paraId="235E2601" w14:textId="77777777" w:rsidTr="00F00293">
        <w:tc>
          <w:tcPr>
            <w:tcW w:w="562" w:type="dxa"/>
          </w:tcPr>
          <w:p w14:paraId="463852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79CC080F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Стратегия привлечения молодых талантов в компанию. Развитие и удержание молодых талантов</w:t>
            </w:r>
          </w:p>
        </w:tc>
      </w:tr>
      <w:tr w:rsidR="009E6058" w14:paraId="3E5AFF4B" w14:textId="77777777" w:rsidTr="00F00293">
        <w:tc>
          <w:tcPr>
            <w:tcW w:w="562" w:type="dxa"/>
          </w:tcPr>
          <w:p w14:paraId="6DE4C64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C96C045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Стратегии развития персонала и методы корпоративного обучения.</w:t>
            </w:r>
          </w:p>
        </w:tc>
      </w:tr>
      <w:tr w:rsidR="009E6058" w14:paraId="70E3C0F3" w14:textId="77777777" w:rsidTr="00F00293">
        <w:tc>
          <w:tcPr>
            <w:tcW w:w="562" w:type="dxa"/>
          </w:tcPr>
          <w:p w14:paraId="4400AD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690145E8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Оценка эффективности программ обучения и развития персонала в компании.</w:t>
            </w:r>
          </w:p>
        </w:tc>
      </w:tr>
      <w:tr w:rsidR="009E6058" w14:paraId="46EF6F8A" w14:textId="77777777" w:rsidTr="00F00293">
        <w:tc>
          <w:tcPr>
            <w:tcW w:w="562" w:type="dxa"/>
          </w:tcPr>
          <w:p w14:paraId="6C6E2B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97A6131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Методы обучения персонала на рабочем месте</w:t>
            </w:r>
          </w:p>
        </w:tc>
      </w:tr>
      <w:tr w:rsidR="009E6058" w14:paraId="500A473C" w14:textId="77777777" w:rsidTr="00F00293">
        <w:tc>
          <w:tcPr>
            <w:tcW w:w="562" w:type="dxa"/>
          </w:tcPr>
          <w:p w14:paraId="6A96D9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82A7654" w14:textId="77777777" w:rsidR="009E6058" w:rsidRPr="00594B17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Методы обучения персонала вне рабочего места</w:t>
            </w:r>
          </w:p>
        </w:tc>
      </w:tr>
      <w:tr w:rsidR="009E6058" w14:paraId="1347181E" w14:textId="77777777" w:rsidTr="00F00293">
        <w:tc>
          <w:tcPr>
            <w:tcW w:w="562" w:type="dxa"/>
          </w:tcPr>
          <w:p w14:paraId="355BB7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1A88F5B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594B17">
              <w:rPr>
                <w:sz w:val="23"/>
                <w:szCs w:val="23"/>
              </w:rPr>
              <w:t xml:space="preserve">Мотивация к обучению и развитию персонала. </w:t>
            </w:r>
            <w:proofErr w:type="spellStart"/>
            <w:r>
              <w:rPr>
                <w:sz w:val="23"/>
                <w:szCs w:val="23"/>
                <w:lang w:val="en-US"/>
              </w:rPr>
              <w:t>Сопротивление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обучению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94B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94B17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94B17" w14:paraId="5A1C9382" w14:textId="77777777" w:rsidTr="00801458">
        <w:tc>
          <w:tcPr>
            <w:tcW w:w="2336" w:type="dxa"/>
          </w:tcPr>
          <w:p w14:paraId="4C518DAB" w14:textId="77777777" w:rsidR="005D65A5" w:rsidRPr="005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94B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94B17" w14:paraId="07658034" w14:textId="77777777" w:rsidTr="00801458">
        <w:tc>
          <w:tcPr>
            <w:tcW w:w="2336" w:type="dxa"/>
          </w:tcPr>
          <w:p w14:paraId="1553D698" w14:textId="78F29BFB" w:rsidR="005D65A5" w:rsidRPr="005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594B17" w14:paraId="2ECC8CDD" w14:textId="77777777" w:rsidTr="00801458">
        <w:tc>
          <w:tcPr>
            <w:tcW w:w="2336" w:type="dxa"/>
          </w:tcPr>
          <w:p w14:paraId="2974F7F0" w14:textId="77777777" w:rsidR="005D65A5" w:rsidRPr="005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7587F25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69125075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A5842C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5D65A5" w:rsidRPr="00594B17" w14:paraId="487239C4" w14:textId="77777777" w:rsidTr="00801458">
        <w:tc>
          <w:tcPr>
            <w:tcW w:w="2336" w:type="dxa"/>
          </w:tcPr>
          <w:p w14:paraId="7844BDF1" w14:textId="77777777" w:rsidR="005D65A5" w:rsidRPr="00594B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037C795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F04A82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B6763F2" w14:textId="77777777" w:rsidR="005D65A5" w:rsidRPr="00594B17" w:rsidRDefault="007478E0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08DABD5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94B17" w14:paraId="623F6E71" w14:textId="77777777" w:rsidTr="00594B17">
        <w:tc>
          <w:tcPr>
            <w:tcW w:w="562" w:type="dxa"/>
          </w:tcPr>
          <w:p w14:paraId="4E4AD633" w14:textId="77777777" w:rsidR="00594B17" w:rsidRDefault="00594B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8085206" w14:textId="77777777" w:rsidR="00594B17" w:rsidRDefault="00594B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94B17" w14:paraId="0267C479" w14:textId="77777777" w:rsidTr="00801458">
        <w:tc>
          <w:tcPr>
            <w:tcW w:w="2500" w:type="pct"/>
          </w:tcPr>
          <w:p w14:paraId="37F699C9" w14:textId="77777777" w:rsidR="00B8237E" w:rsidRPr="00594B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94B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94B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94B17" w14:paraId="3F240151" w14:textId="77777777" w:rsidTr="00801458">
        <w:tc>
          <w:tcPr>
            <w:tcW w:w="2500" w:type="pct"/>
          </w:tcPr>
          <w:p w14:paraId="61E91592" w14:textId="61A0874C" w:rsidR="00B8237E" w:rsidRPr="00594B17" w:rsidRDefault="00B8237E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594B17" w:rsidRDefault="005C548A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94B17" w14:paraId="533A996D" w14:textId="77777777" w:rsidTr="00801458">
        <w:tc>
          <w:tcPr>
            <w:tcW w:w="2500" w:type="pct"/>
          </w:tcPr>
          <w:p w14:paraId="611F01F9" w14:textId="77777777" w:rsidR="00B8237E" w:rsidRPr="00594B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7D9B8B44" w14:textId="77777777" w:rsidR="00B8237E" w:rsidRPr="00594B17" w:rsidRDefault="005C548A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594B17" w14:paraId="3CD05831" w14:textId="77777777" w:rsidTr="00801458">
        <w:tc>
          <w:tcPr>
            <w:tcW w:w="2500" w:type="pct"/>
          </w:tcPr>
          <w:p w14:paraId="0A1CCFD4" w14:textId="77777777" w:rsidR="00B8237E" w:rsidRPr="00594B17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0E5DBAB5" w14:textId="77777777" w:rsidR="00B8237E" w:rsidRPr="00594B17" w:rsidRDefault="005C548A" w:rsidP="00801458">
            <w:pPr>
              <w:rPr>
                <w:rFonts w:ascii="Times New Roman" w:hAnsi="Times New Roman" w:cs="Times New Roman"/>
              </w:rPr>
            </w:pPr>
            <w:r w:rsidRPr="00594B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594B1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412A88" w14:textId="77777777" w:rsidR="00916F84" w:rsidRDefault="00916F84" w:rsidP="00315CA6">
      <w:pPr>
        <w:spacing w:after="0" w:line="240" w:lineRule="auto"/>
      </w:pPr>
      <w:r>
        <w:separator/>
      </w:r>
    </w:p>
  </w:endnote>
  <w:endnote w:type="continuationSeparator" w:id="0">
    <w:p w14:paraId="363F40C5" w14:textId="77777777" w:rsidR="00916F84" w:rsidRDefault="00916F8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54F1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43A901" w14:textId="77777777" w:rsidR="00916F84" w:rsidRDefault="00916F84" w:rsidP="00315CA6">
      <w:pPr>
        <w:spacing w:after="0" w:line="240" w:lineRule="auto"/>
      </w:pPr>
      <w:r>
        <w:separator/>
      </w:r>
    </w:p>
  </w:footnote>
  <w:footnote w:type="continuationSeparator" w:id="0">
    <w:p w14:paraId="23D9DDCA" w14:textId="77777777" w:rsidR="00916F84" w:rsidRDefault="00916F8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08DF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4B17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4F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6F84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87021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A3%D0%BF%D1%80%D0%B0%D0%B2%D0%BB%D0%B5%D0%BD%D0%B8%D0%B5%20%D0%BA%D0%B0%D1%80%D1%8C%D0%B5%D1%80%D0%BE%D0%B9%20%D0%B8%20%D1%80%D0%B0%D0%B7%D0%B2%D0%B8%D1%82%D0%B8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3C73F3-1B40-412D-A034-8C3051A40D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3405</Words>
  <Characters>19413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